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napToGrid/>
        <w:spacing w:line="600" w:lineRule="exact"/>
        <w:ind w:right="0" w:rightChars="0"/>
        <w:jc w:val="both"/>
        <w:textAlignment w:val="baseline"/>
        <w:rPr>
          <w:rFonts w:hint="eastAsia" w:ascii="仿宋_GB2312" w:hAnsi="仿宋_GB2312" w:eastAsia="仿宋_GB2312" w:cs="仿宋_GB2312"/>
          <w:b w:val="0"/>
          <w:bCs w:val="0"/>
          <w:sz w:val="32"/>
          <w:lang w:val="en-US" w:eastAsia="zh-CN"/>
        </w:rPr>
      </w:pPr>
      <w:r>
        <w:rPr>
          <w:rFonts w:hint="eastAsia" w:ascii="仿宋_GB2312" w:hAnsi="仿宋_GB2312" w:eastAsia="仿宋_GB2312" w:cs="仿宋_GB2312"/>
          <w:b w:val="0"/>
          <w:bCs w:val="0"/>
          <w:sz w:val="32"/>
          <w:lang w:val="en-US" w:eastAsia="zh-CN"/>
        </w:rPr>
        <w:t>附件3：</w:t>
      </w:r>
    </w:p>
    <w:p>
      <w:pPr>
        <w:keepNext w:val="0"/>
        <w:keepLines w:val="0"/>
        <w:pageBreakBefore w:val="0"/>
        <w:kinsoku/>
        <w:overflowPunct/>
        <w:topLinePunct w:val="0"/>
        <w:autoSpaceDE/>
        <w:autoSpaceDN/>
        <w:bidi w:val="0"/>
        <w:adjustRightInd/>
        <w:snapToGrid/>
        <w:spacing w:line="600" w:lineRule="exact"/>
        <w:ind w:left="0" w:leftChars="0" w:right="0" w:rightChars="0" w:firstLine="640" w:firstLineChars="200"/>
        <w:jc w:val="both"/>
        <w:textAlignment w:val="baseline"/>
        <w:rPr>
          <w:rFonts w:hint="eastAsia" w:ascii="仿宋_GB2312" w:hAnsi="仿宋_GB2312" w:eastAsia="仿宋_GB2312" w:cs="仿宋_GB2312"/>
          <w:sz w:val="32"/>
          <w:lang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val="0"/>
          <w:i w:val="0"/>
          <w:caps w:val="0"/>
          <w:color w:val="000000"/>
          <w:spacing w:val="0"/>
          <w:sz w:val="32"/>
          <w:szCs w:val="32"/>
        </w:rPr>
      </w:pPr>
      <w:bookmarkStart w:id="0" w:name="_GoBack"/>
      <w:r>
        <w:rPr>
          <w:rFonts w:hint="eastAsia" w:ascii="方正小标宋简体" w:hAnsi="方正小标宋简体" w:eastAsia="方正小标宋简体" w:cs="方正小标宋简体"/>
          <w:b w:val="0"/>
          <w:bCs w:val="0"/>
          <w:kern w:val="2"/>
          <w:sz w:val="44"/>
          <w:szCs w:val="44"/>
          <w:lang w:val="en-US" w:eastAsia="zh-CN" w:bidi="ar-SA"/>
        </w:rPr>
        <w:t>化妆品经营单位履行进货查验制度责任和义务告知书</w:t>
      </w:r>
    </w:p>
    <w:bookmarkEnd w:id="0"/>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0"/>
        <w:jc w:val="both"/>
        <w:rPr>
          <w:rFonts w:hint="eastAsia" w:ascii="CESI仿宋-GB18030" w:hAnsi="CESI仿宋-GB18030" w:eastAsia="CESI仿宋-GB18030" w:cs="CESI仿宋-GB18030"/>
          <w:i w:val="0"/>
          <w:caps w:val="0"/>
          <w:color w:val="000000"/>
          <w:spacing w:val="0"/>
          <w:sz w:val="32"/>
          <w:szCs w:val="32"/>
        </w:rPr>
      </w:pPr>
      <w:r>
        <w:rPr>
          <w:rFonts w:hint="eastAsia" w:ascii="CESI仿宋-GB18030" w:hAnsi="CESI仿宋-GB18030" w:eastAsia="CESI仿宋-GB18030" w:cs="CESI仿宋-GB18030"/>
          <w:b w:val="0"/>
          <w:i w:val="0"/>
          <w:caps w:val="0"/>
          <w:color w:val="000000"/>
          <w:spacing w:val="30"/>
          <w:kern w:val="0"/>
          <w:sz w:val="32"/>
          <w:szCs w:val="32"/>
          <w:shd w:val="clear" w:color="auto" w:fill="FFFFFF"/>
          <w:lang w:val="en-US" w:eastAsia="zh-CN" w:bidi="ar"/>
        </w:rPr>
        <w:t> </w:t>
      </w:r>
    </w:p>
    <w:p>
      <w:pPr>
        <w:keepNext w:val="0"/>
        <w:keepLines w:val="0"/>
        <w:pageBreakBefore w:val="0"/>
        <w:widowControl/>
        <w:shd w:val="clear" w:color="auto" w:fill="FFFFFF"/>
        <w:kinsoku/>
        <w:wordWrap w:val="0"/>
        <w:overflowPunct/>
        <w:topLinePunct w:val="0"/>
        <w:autoSpaceDE/>
        <w:autoSpaceDN/>
        <w:bidi w:val="0"/>
        <w:adjustRightInd/>
        <w:snapToGrid/>
        <w:spacing w:line="600" w:lineRule="exact"/>
        <w:ind w:right="0" w:rightChars="0" w:firstLine="685"/>
        <w:jc w:val="both"/>
        <w:textAlignment w:val="auto"/>
        <w:outlineLvl w:val="9"/>
        <w:rPr>
          <w:rFonts w:hint="eastAsia" w:ascii="仿宋_GB2312" w:hAnsi="仿宋_GB2312" w:eastAsia="仿宋_GB2312" w:cs="仿宋_GB2312"/>
          <w:kern w:val="0"/>
          <w:sz w:val="32"/>
          <w:szCs w:val="32"/>
          <w:shd w:val="clear" w:color="auto" w:fill="FFFFFF"/>
          <w:lang w:eastAsia="zh-CN"/>
        </w:rPr>
      </w:pPr>
      <w:r>
        <w:rPr>
          <w:rFonts w:hint="eastAsia" w:ascii="仿宋_GB2312" w:hAnsi="仿宋_GB2312" w:eastAsia="仿宋_GB2312" w:cs="仿宋_GB2312"/>
          <w:kern w:val="0"/>
          <w:sz w:val="32"/>
          <w:szCs w:val="32"/>
          <w:shd w:val="clear" w:color="auto" w:fill="FFFFFF"/>
          <w:lang w:eastAsia="zh-CN"/>
        </w:rPr>
        <w:t>根据《化妆品监督管理条例》</w:t>
      </w:r>
      <w:r>
        <w:rPr>
          <w:rFonts w:hint="eastAsia" w:ascii="仿宋_GB2312" w:hAnsi="仿宋_GB2312" w:eastAsia="仿宋_GB2312" w:cs="仿宋_GB2312"/>
          <w:kern w:val="0"/>
          <w:sz w:val="32"/>
          <w:szCs w:val="32"/>
          <w:shd w:val="clear" w:color="auto" w:fill="FFFFFF"/>
          <w:lang w:val="en-US" w:eastAsia="zh-CN"/>
        </w:rPr>
        <w:t>和</w:t>
      </w:r>
      <w:r>
        <w:rPr>
          <w:rFonts w:hint="eastAsia" w:ascii="仿宋_GB2312" w:hAnsi="仿宋_GB2312" w:eastAsia="仿宋_GB2312" w:cs="仿宋_GB2312"/>
          <w:kern w:val="0"/>
          <w:sz w:val="32"/>
          <w:szCs w:val="32"/>
          <w:shd w:val="clear" w:color="auto" w:fill="FFFFFF"/>
          <w:lang w:eastAsia="zh-CN"/>
        </w:rPr>
        <w:t>《化妆品生产经营监督管理办法》</w:t>
      </w:r>
      <w:r>
        <w:rPr>
          <w:rFonts w:hint="eastAsia" w:ascii="仿宋_GB2312" w:hAnsi="仿宋_GB2312" w:eastAsia="仿宋_GB2312" w:cs="仿宋_GB2312"/>
          <w:kern w:val="0"/>
          <w:sz w:val="32"/>
          <w:szCs w:val="32"/>
          <w:shd w:val="clear" w:color="auto" w:fill="FFFFFF"/>
          <w:lang w:val="en-US" w:eastAsia="zh-CN"/>
        </w:rPr>
        <w:t>规定，全区从事化妆品经营的企业应当按照要求</w:t>
      </w:r>
      <w:r>
        <w:rPr>
          <w:rFonts w:hint="eastAsia" w:ascii="仿宋_GB2312" w:hAnsi="仿宋_GB2312" w:eastAsia="仿宋_GB2312" w:cs="仿宋_GB2312"/>
          <w:kern w:val="0"/>
          <w:sz w:val="32"/>
          <w:szCs w:val="32"/>
          <w:shd w:val="clear" w:color="auto" w:fill="FFFFFF"/>
        </w:rPr>
        <w:t>建立并</w:t>
      </w:r>
      <w:r>
        <w:rPr>
          <w:rFonts w:hint="eastAsia" w:ascii="仿宋_GB2312" w:hAnsi="仿宋_GB2312" w:eastAsia="仿宋_GB2312" w:cs="仿宋_GB2312"/>
          <w:kern w:val="0"/>
          <w:sz w:val="32"/>
          <w:szCs w:val="32"/>
          <w:shd w:val="clear" w:color="auto" w:fill="FFFFFF"/>
          <w:lang w:eastAsia="zh-CN"/>
        </w:rPr>
        <w:t>执行进货查验记录制度，现就有关事项告知如下：</w:t>
      </w:r>
    </w:p>
    <w:p>
      <w:pPr>
        <w:keepNext w:val="0"/>
        <w:keepLines w:val="0"/>
        <w:pageBreakBefore w:val="0"/>
        <w:widowControl/>
        <w:numPr>
          <w:ilvl w:val="0"/>
          <w:numId w:val="0"/>
        </w:numPr>
        <w:shd w:val="clear" w:color="auto" w:fill="FFFFFF"/>
        <w:kinsoku/>
        <w:wordWrap w:val="0"/>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kern w:val="0"/>
          <w:sz w:val="32"/>
          <w:szCs w:val="32"/>
          <w:shd w:val="clear" w:color="auto" w:fill="FFFFFF"/>
          <w:lang w:eastAsia="zh-CN"/>
        </w:rPr>
      </w:pPr>
      <w:r>
        <w:rPr>
          <w:rFonts w:hint="eastAsia" w:ascii="方正黑体_GBK" w:hAnsi="方正黑体_GBK" w:eastAsia="方正黑体_GBK" w:cs="方正黑体_GBK"/>
          <w:b w:val="0"/>
          <w:bCs w:val="0"/>
          <w:sz w:val="32"/>
          <w:lang w:val="en-US" w:eastAsia="zh-CN"/>
        </w:rPr>
        <w:t>一、制定查验制度</w:t>
      </w:r>
      <w:r>
        <w:rPr>
          <w:rFonts w:hint="eastAsia" w:ascii="方正黑体_GBK" w:hAnsi="方正黑体_GBK" w:eastAsia="方正黑体_GBK" w:cs="方正黑体_GBK"/>
          <w:b w:val="0"/>
          <w:bCs w:val="0"/>
          <w:kern w:val="0"/>
          <w:sz w:val="32"/>
          <w:szCs w:val="32"/>
          <w:shd w:val="clear" w:color="auto" w:fill="FFFFFF"/>
          <w:lang w:eastAsia="zh-CN"/>
        </w:rPr>
        <w:t>。</w:t>
      </w:r>
      <w:r>
        <w:rPr>
          <w:rFonts w:hint="eastAsia" w:ascii="仿宋_GB2312" w:hAnsi="仿宋_GB2312" w:eastAsia="仿宋_GB2312" w:cs="仿宋_GB2312"/>
          <w:kern w:val="0"/>
          <w:sz w:val="32"/>
          <w:szCs w:val="32"/>
          <w:shd w:val="clear" w:color="auto" w:fill="FFFFFF"/>
          <w:lang w:eastAsia="zh-CN"/>
        </w:rPr>
        <w:t>化妆品经营单位应制定化妆品进货查验记录制度文件，主要包括查验内容、查验程序、查验责任、产品资质证件资料、购货票据管理等内容。</w:t>
      </w:r>
    </w:p>
    <w:p>
      <w:pPr>
        <w:keepNext w:val="0"/>
        <w:keepLines w:val="0"/>
        <w:pageBreakBefore w:val="0"/>
        <w:widowControl/>
        <w:shd w:val="clear" w:color="auto" w:fill="FFFFFF"/>
        <w:kinsoku/>
        <w:wordWrap w:val="0"/>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kern w:val="0"/>
          <w:sz w:val="32"/>
          <w:szCs w:val="32"/>
          <w:shd w:val="clear" w:color="auto" w:fill="FFFFFF"/>
          <w:lang w:val="en-US" w:eastAsia="zh-CN"/>
        </w:rPr>
      </w:pPr>
      <w:r>
        <w:rPr>
          <w:rFonts w:hint="eastAsia" w:ascii="方正黑体_GBK" w:hAnsi="方正黑体_GBK" w:eastAsia="方正黑体_GBK" w:cs="方正黑体_GBK"/>
          <w:b w:val="0"/>
          <w:bCs w:val="0"/>
          <w:sz w:val="32"/>
          <w:lang w:val="en-US" w:eastAsia="zh-CN"/>
        </w:rPr>
        <w:t>二、查验资质材料</w:t>
      </w:r>
      <w:r>
        <w:rPr>
          <w:rFonts w:hint="eastAsia" w:ascii="楷体_GB2312" w:hAnsi="楷体_GB2312" w:eastAsia="楷体_GB2312" w:cs="楷体_GB2312"/>
          <w:b/>
          <w:bCs/>
          <w:sz w:val="32"/>
          <w:lang w:val="en-US" w:eastAsia="zh-CN"/>
        </w:rPr>
        <w:t>。</w:t>
      </w:r>
      <w:r>
        <w:rPr>
          <w:rFonts w:hint="eastAsia" w:ascii="仿宋_GB2312" w:hAnsi="仿宋_GB2312" w:eastAsia="仿宋_GB2312" w:cs="仿宋_GB2312"/>
          <w:kern w:val="0"/>
          <w:sz w:val="32"/>
          <w:szCs w:val="32"/>
          <w:shd w:val="clear" w:color="auto" w:fill="FFFFFF"/>
          <w:lang w:val="en-US" w:eastAsia="zh-CN"/>
        </w:rPr>
        <w:t>化妆品经营单位在购进化妆品时，应对产品以下资质证件性材料进行检查：</w:t>
      </w:r>
    </w:p>
    <w:p>
      <w:pPr>
        <w:keepNext w:val="0"/>
        <w:keepLines w:val="0"/>
        <w:pageBreakBefore w:val="0"/>
        <w:widowControl/>
        <w:shd w:val="clear" w:color="auto" w:fill="FFFFFF"/>
        <w:kinsoku/>
        <w:wordWrap w:val="0"/>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sz w:val="32"/>
          <w:lang w:val="en-US" w:eastAsia="zh-CN"/>
        </w:rPr>
        <w:t>1.</w:t>
      </w:r>
      <w:r>
        <w:rPr>
          <w:rFonts w:hint="eastAsia" w:ascii="仿宋_GB2312" w:hAnsi="仿宋_GB2312" w:eastAsia="仿宋_GB2312" w:cs="仿宋_GB2312"/>
          <w:sz w:val="32"/>
        </w:rPr>
        <w:t>化妆品供应商的</w:t>
      </w:r>
      <w:r>
        <w:rPr>
          <w:rFonts w:hint="eastAsia" w:ascii="仿宋_GB2312" w:hAnsi="仿宋_GB2312" w:eastAsia="仿宋_GB2312" w:cs="仿宋_GB2312"/>
          <w:sz w:val="32"/>
          <w:lang w:eastAsia="zh-CN"/>
        </w:rPr>
        <w:t>市场主体登记证明（</w:t>
      </w:r>
      <w:r>
        <w:rPr>
          <w:rFonts w:hint="eastAsia" w:ascii="仿宋_GB2312" w:hAnsi="仿宋_GB2312" w:eastAsia="仿宋_GB2312" w:cs="仿宋_GB2312"/>
          <w:sz w:val="32"/>
        </w:rPr>
        <w:t>营业执照</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w:t>
      </w:r>
    </w:p>
    <w:p>
      <w:pPr>
        <w:keepNext w:val="0"/>
        <w:keepLines w:val="0"/>
        <w:pageBreakBefore w:val="0"/>
        <w:kinsoku/>
        <w:overflowPunct/>
        <w:topLinePunct w:val="0"/>
        <w:autoSpaceDE/>
        <w:autoSpaceDN/>
        <w:bidi w:val="0"/>
        <w:adjustRightInd/>
        <w:snapToGrid/>
        <w:spacing w:line="600" w:lineRule="exact"/>
        <w:ind w:left="0" w:leftChars="0" w:right="0" w:rightChars="0" w:firstLine="640" w:firstLineChars="200"/>
        <w:jc w:val="both"/>
        <w:textAlignment w:val="baseline"/>
        <w:rPr>
          <w:rFonts w:hint="eastAsia" w:ascii="仿宋_GB2312" w:hAnsi="仿宋_GB2312" w:eastAsia="仿宋_GB2312" w:cs="仿宋_GB2312"/>
          <w:sz w:val="32"/>
          <w:lang w:eastAsia="zh-CN"/>
        </w:rPr>
      </w:pPr>
      <w:r>
        <w:rPr>
          <w:rFonts w:hint="eastAsia" w:ascii="仿宋_GB2312" w:hAnsi="仿宋_GB2312" w:eastAsia="仿宋_GB2312" w:cs="仿宋_GB2312"/>
          <w:sz w:val="32"/>
          <w:lang w:val="en-US" w:eastAsia="zh-CN"/>
        </w:rPr>
        <w:t>2.</w:t>
      </w:r>
      <w:r>
        <w:rPr>
          <w:rFonts w:hint="eastAsia" w:ascii="仿宋_GB2312" w:hAnsi="仿宋_GB2312" w:eastAsia="仿宋_GB2312" w:cs="仿宋_GB2312"/>
          <w:sz w:val="32"/>
          <w:lang w:eastAsia="zh-CN"/>
        </w:rPr>
        <w:t>特殊化妆品注册证；</w:t>
      </w:r>
    </w:p>
    <w:p>
      <w:pPr>
        <w:keepNext w:val="0"/>
        <w:keepLines w:val="0"/>
        <w:pageBreakBefore w:val="0"/>
        <w:kinsoku/>
        <w:overflowPunct/>
        <w:topLinePunct w:val="0"/>
        <w:autoSpaceDE/>
        <w:autoSpaceDN/>
        <w:bidi w:val="0"/>
        <w:adjustRightInd/>
        <w:snapToGrid/>
        <w:spacing w:line="600" w:lineRule="exact"/>
        <w:ind w:left="0" w:leftChars="0" w:right="0" w:rightChars="0" w:firstLine="640" w:firstLineChars="200"/>
        <w:jc w:val="both"/>
        <w:textAlignment w:val="baseline"/>
        <w:rPr>
          <w:rFonts w:hint="eastAsia" w:ascii="仿宋_GB2312" w:hAnsi="仿宋_GB2312" w:eastAsia="仿宋_GB2312" w:cs="仿宋_GB2312"/>
          <w:sz w:val="32"/>
        </w:rPr>
      </w:pPr>
      <w:r>
        <w:rPr>
          <w:rFonts w:hint="eastAsia" w:ascii="仿宋_GB2312" w:hAnsi="仿宋_GB2312" w:eastAsia="仿宋_GB2312" w:cs="仿宋_GB2312"/>
          <w:sz w:val="32"/>
          <w:lang w:val="en-US" w:eastAsia="zh-CN"/>
        </w:rPr>
        <w:t>3.</w:t>
      </w:r>
      <w:r>
        <w:rPr>
          <w:rFonts w:hint="eastAsia" w:ascii="仿宋_GB2312" w:hAnsi="仿宋_GB2312" w:eastAsia="仿宋_GB2312" w:cs="仿宋_GB2312"/>
          <w:sz w:val="32"/>
          <w:lang w:eastAsia="zh-CN"/>
        </w:rPr>
        <w:t>普通化妆品</w:t>
      </w:r>
      <w:r>
        <w:rPr>
          <w:rFonts w:hint="eastAsia" w:ascii="仿宋_GB2312" w:hAnsi="仿宋_GB2312" w:eastAsia="仿宋_GB2312" w:cs="仿宋_GB2312"/>
          <w:sz w:val="32"/>
        </w:rPr>
        <w:t>备案凭证；</w:t>
      </w:r>
    </w:p>
    <w:p>
      <w:pPr>
        <w:keepNext w:val="0"/>
        <w:keepLines w:val="0"/>
        <w:pageBreakBefore w:val="0"/>
        <w:kinsoku/>
        <w:overflowPunct/>
        <w:topLinePunct w:val="0"/>
        <w:autoSpaceDE/>
        <w:autoSpaceDN/>
        <w:bidi w:val="0"/>
        <w:adjustRightInd/>
        <w:snapToGrid/>
        <w:spacing w:line="600" w:lineRule="exact"/>
        <w:ind w:right="0" w:rightChars="0" w:firstLine="640" w:firstLineChars="200"/>
        <w:jc w:val="both"/>
        <w:textAlignment w:val="baseline"/>
        <w:rPr>
          <w:rFonts w:hint="eastAsia" w:ascii="仿宋_GB2312" w:hAnsi="仿宋_GB2312" w:eastAsia="仿宋_GB2312" w:cs="仿宋_GB2312"/>
          <w:sz w:val="32"/>
        </w:rPr>
      </w:pPr>
      <w:r>
        <w:rPr>
          <w:rFonts w:hint="eastAsia" w:ascii="仿宋_GB2312" w:hAnsi="仿宋_GB2312" w:eastAsia="仿宋_GB2312" w:cs="仿宋_GB2312"/>
          <w:sz w:val="32"/>
          <w:lang w:val="en-US" w:eastAsia="zh-CN"/>
        </w:rPr>
        <w:t>4.国产化妆品质量检验合格证明（检验报告）</w:t>
      </w:r>
      <w:r>
        <w:rPr>
          <w:rFonts w:hint="eastAsia" w:ascii="仿宋_GB2312" w:hAnsi="仿宋_GB2312" w:eastAsia="仿宋_GB2312" w:cs="仿宋_GB2312"/>
          <w:sz w:val="32"/>
        </w:rPr>
        <w:t>；</w:t>
      </w:r>
    </w:p>
    <w:p>
      <w:pPr>
        <w:keepNext w:val="0"/>
        <w:keepLines w:val="0"/>
        <w:pageBreakBefore w:val="0"/>
        <w:kinsoku/>
        <w:overflowPunct/>
        <w:topLinePunct w:val="0"/>
        <w:autoSpaceDE/>
        <w:autoSpaceDN/>
        <w:bidi w:val="0"/>
        <w:adjustRightInd/>
        <w:snapToGrid/>
        <w:spacing w:line="600" w:lineRule="exact"/>
        <w:ind w:right="0" w:rightChars="0" w:firstLine="640" w:firstLineChars="200"/>
        <w:jc w:val="both"/>
        <w:textAlignment w:val="baseline"/>
        <w:rPr>
          <w:rFonts w:hint="eastAsia" w:ascii="仿宋_GB2312" w:hAnsi="仿宋_GB2312" w:eastAsia="仿宋_GB2312" w:cs="仿宋_GB2312"/>
          <w:sz w:val="32"/>
        </w:rPr>
      </w:pPr>
      <w:r>
        <w:rPr>
          <w:rFonts w:hint="eastAsia" w:ascii="仿宋_GB2312" w:hAnsi="仿宋_GB2312" w:eastAsia="仿宋_GB2312" w:cs="仿宋_GB2312"/>
          <w:sz w:val="32"/>
          <w:lang w:val="en-US" w:eastAsia="zh-CN"/>
        </w:rPr>
        <w:t>5.</w:t>
      </w:r>
      <w:r>
        <w:rPr>
          <w:rFonts w:hint="eastAsia" w:ascii="仿宋_GB2312" w:hAnsi="仿宋_GB2312" w:eastAsia="仿宋_GB2312" w:cs="仿宋_GB2312"/>
          <w:sz w:val="32"/>
        </w:rPr>
        <w:t>进口化妆品的有效检验检疫证明</w:t>
      </w:r>
      <w:r>
        <w:rPr>
          <w:rFonts w:hint="eastAsia" w:ascii="仿宋_GB2312" w:hAnsi="仿宋_GB2312" w:eastAsia="仿宋_GB2312" w:cs="仿宋_GB2312"/>
          <w:sz w:val="32"/>
          <w:lang w:val="en-US" w:eastAsia="zh-CN"/>
        </w:rPr>
        <w:t>（检验报告）；</w:t>
      </w:r>
    </w:p>
    <w:p>
      <w:pPr>
        <w:keepNext w:val="0"/>
        <w:keepLines w:val="0"/>
        <w:pageBreakBefore w:val="0"/>
        <w:kinsoku/>
        <w:overflowPunct/>
        <w:topLinePunct w:val="0"/>
        <w:autoSpaceDE/>
        <w:autoSpaceDN/>
        <w:bidi w:val="0"/>
        <w:adjustRightInd/>
        <w:snapToGrid/>
        <w:spacing w:line="600" w:lineRule="exact"/>
        <w:ind w:left="0" w:leftChars="0" w:right="0" w:rightChars="0" w:firstLine="640" w:firstLineChars="200"/>
        <w:jc w:val="both"/>
        <w:textAlignment w:val="baseline"/>
        <w:rPr>
          <w:rFonts w:hint="eastAsia" w:ascii="仿宋_GB2312" w:hAnsi="仿宋_GB2312" w:eastAsia="仿宋_GB2312" w:cs="仿宋_GB2312"/>
          <w:sz w:val="32"/>
        </w:rPr>
      </w:pPr>
      <w:r>
        <w:rPr>
          <w:rFonts w:hint="eastAsia" w:ascii="仿宋_GB2312" w:hAnsi="仿宋_GB2312" w:eastAsia="仿宋_GB2312" w:cs="仿宋_GB2312"/>
          <w:sz w:val="32"/>
          <w:lang w:val="en-US" w:eastAsia="zh-CN"/>
        </w:rPr>
        <w:t>6.国产</w:t>
      </w:r>
      <w:r>
        <w:rPr>
          <w:rFonts w:hint="eastAsia" w:ascii="仿宋_GB2312" w:hAnsi="仿宋_GB2312" w:eastAsia="仿宋_GB2312" w:cs="仿宋_GB2312"/>
          <w:sz w:val="32"/>
        </w:rPr>
        <w:t>化妆品</w:t>
      </w:r>
      <w:r>
        <w:rPr>
          <w:rFonts w:hint="eastAsia" w:ascii="仿宋_GB2312" w:hAnsi="仿宋_GB2312" w:eastAsia="仿宋_GB2312" w:cs="仿宋_GB2312"/>
          <w:sz w:val="32"/>
          <w:lang w:eastAsia="zh-CN"/>
        </w:rPr>
        <w:t>生产企业</w:t>
      </w:r>
      <w:r>
        <w:rPr>
          <w:rFonts w:hint="eastAsia" w:ascii="仿宋_GB2312" w:hAnsi="仿宋_GB2312" w:eastAsia="仿宋_GB2312" w:cs="仿宋_GB2312"/>
          <w:sz w:val="32"/>
        </w:rPr>
        <w:t>生产许可证。</w:t>
      </w:r>
    </w:p>
    <w:p>
      <w:pPr>
        <w:keepNext w:val="0"/>
        <w:keepLines w:val="0"/>
        <w:pageBreakBefore w:val="0"/>
        <w:kinsoku/>
        <w:overflowPunct/>
        <w:topLinePunct w:val="0"/>
        <w:autoSpaceDE/>
        <w:autoSpaceDN/>
        <w:bidi w:val="0"/>
        <w:adjustRightInd/>
        <w:snapToGrid/>
        <w:spacing w:line="600" w:lineRule="exact"/>
        <w:ind w:left="0" w:leftChars="0" w:right="0" w:rightChars="0" w:firstLine="640" w:firstLineChars="200"/>
        <w:jc w:val="both"/>
        <w:textAlignment w:val="baseline"/>
        <w:rPr>
          <w:rFonts w:hint="eastAsia" w:ascii="仿宋_GB2312" w:hAnsi="仿宋_GB2312" w:eastAsia="仿宋_GB2312" w:cs="仿宋_GB2312"/>
          <w:sz w:val="32"/>
        </w:rPr>
      </w:pPr>
      <w:r>
        <w:rPr>
          <w:rFonts w:hint="eastAsia" w:ascii="仿宋_GB2312" w:hAnsi="仿宋_GB2312" w:eastAsia="仿宋_GB2312" w:cs="仿宋_GB2312"/>
          <w:sz w:val="32"/>
          <w:lang w:eastAsia="zh-CN"/>
        </w:rPr>
        <w:t>以上资料</w:t>
      </w:r>
      <w:r>
        <w:rPr>
          <w:rFonts w:hint="eastAsia" w:ascii="仿宋_GB2312" w:hAnsi="仿宋_GB2312" w:eastAsia="仿宋_GB2312" w:cs="仿宋_GB2312"/>
          <w:sz w:val="32"/>
        </w:rPr>
        <w:t>不能提供原件的，可以提供复印件。但复印件应加盖化妆品生产企业或供应商的公章并存档备查。</w:t>
      </w:r>
    </w:p>
    <w:p>
      <w:pPr>
        <w:keepNext w:val="0"/>
        <w:keepLines w:val="0"/>
        <w:pageBreakBefore w:val="0"/>
        <w:numPr>
          <w:ilvl w:val="0"/>
          <w:numId w:val="0"/>
        </w:numPr>
        <w:kinsoku/>
        <w:overflowPunct/>
        <w:topLinePunct w:val="0"/>
        <w:autoSpaceDE/>
        <w:autoSpaceDN/>
        <w:bidi w:val="0"/>
        <w:adjustRightInd/>
        <w:snapToGrid/>
        <w:spacing w:line="600" w:lineRule="exact"/>
        <w:ind w:right="0" w:rightChars="0" w:firstLine="640" w:firstLineChars="200"/>
        <w:jc w:val="both"/>
        <w:textAlignment w:val="baseline"/>
        <w:rPr>
          <w:rFonts w:hint="eastAsia" w:ascii="仿宋_GB2312" w:hAnsi="仿宋_GB2312" w:eastAsia="仿宋_GB2312" w:cs="仿宋_GB2312"/>
          <w:kern w:val="0"/>
          <w:sz w:val="32"/>
          <w:szCs w:val="32"/>
          <w:shd w:val="clear" w:color="auto" w:fill="FFFFFF"/>
          <w:lang w:val="en-US" w:eastAsia="zh-CN"/>
        </w:rPr>
      </w:pPr>
      <w:r>
        <w:rPr>
          <w:rFonts w:hint="eastAsia" w:ascii="方正黑体_GBK" w:hAnsi="方正黑体_GBK" w:eastAsia="方正黑体_GBK" w:cs="方正黑体_GBK"/>
          <w:b w:val="0"/>
          <w:bCs w:val="0"/>
          <w:sz w:val="32"/>
          <w:lang w:val="en-US" w:eastAsia="zh-CN"/>
        </w:rPr>
        <w:t>三、索取供货发票。</w:t>
      </w:r>
      <w:r>
        <w:rPr>
          <w:rFonts w:hint="eastAsia" w:ascii="仿宋_GB2312" w:hAnsi="仿宋_GB2312" w:eastAsia="仿宋_GB2312" w:cs="仿宋_GB2312"/>
          <w:kern w:val="0"/>
          <w:sz w:val="32"/>
          <w:szCs w:val="32"/>
          <w:shd w:val="clear" w:color="auto" w:fill="FFFFFF"/>
          <w:lang w:val="en-US" w:eastAsia="zh-CN"/>
        </w:rPr>
        <w:t>化妆品经营单位在购进化妆品时应索取供应商的内容齐全的正式销售发票或相关凭证，发票或相关凭证应加盖化妆品生产企业或供应商的公章。</w:t>
      </w:r>
    </w:p>
    <w:p>
      <w:pPr>
        <w:keepNext w:val="0"/>
        <w:keepLines w:val="0"/>
        <w:pageBreakBefore w:val="0"/>
        <w:kinsoku/>
        <w:overflowPunct/>
        <w:topLinePunct w:val="0"/>
        <w:autoSpaceDE/>
        <w:autoSpaceDN/>
        <w:bidi w:val="0"/>
        <w:adjustRightInd/>
        <w:snapToGrid/>
        <w:spacing w:line="600" w:lineRule="exact"/>
        <w:ind w:left="0" w:leftChars="0" w:right="0" w:rightChars="0" w:firstLine="640" w:firstLineChars="200"/>
        <w:jc w:val="both"/>
        <w:textAlignment w:val="baseline"/>
        <w:rPr>
          <w:rFonts w:hint="eastAsia" w:ascii="仿宋_GB2312" w:hAnsi="仿宋_GB2312" w:eastAsia="仿宋_GB2312" w:cs="仿宋_GB2312"/>
          <w:sz w:val="32"/>
          <w:lang w:eastAsia="zh-CN"/>
        </w:rPr>
      </w:pPr>
      <w:r>
        <w:rPr>
          <w:rFonts w:hint="eastAsia" w:ascii="方正黑体_GBK" w:hAnsi="方正黑体_GBK" w:eastAsia="方正黑体_GBK" w:cs="方正黑体_GBK"/>
          <w:b w:val="0"/>
          <w:bCs w:val="0"/>
          <w:sz w:val="32"/>
          <w:lang w:val="en-US" w:eastAsia="zh-CN"/>
        </w:rPr>
        <w:t>四、购货进行登记。</w:t>
      </w:r>
      <w:r>
        <w:rPr>
          <w:rFonts w:hint="eastAsia" w:ascii="仿宋_GB2312" w:hAnsi="仿宋_GB2312" w:eastAsia="仿宋_GB2312" w:cs="仿宋_GB2312"/>
          <w:kern w:val="0"/>
          <w:sz w:val="32"/>
          <w:szCs w:val="32"/>
          <w:shd w:val="clear" w:color="auto" w:fill="FFFFFF"/>
          <w:lang w:val="en-US" w:eastAsia="zh-CN"/>
        </w:rPr>
        <w:t>化妆品经营单位应建立化妆品购货台账，对所购进的化妆品相关信息进行登记，登记内容包括：</w:t>
      </w:r>
      <w:r>
        <w:rPr>
          <w:rFonts w:hint="eastAsia" w:ascii="仿宋_GB2312" w:hAnsi="仿宋_GB2312" w:eastAsia="仿宋_GB2312" w:cs="仿宋_GB2312"/>
          <w:sz w:val="32"/>
        </w:rPr>
        <w:t>化妆品名称、</w:t>
      </w:r>
      <w:r>
        <w:rPr>
          <w:rFonts w:hint="eastAsia" w:ascii="仿宋_GB2312" w:hAnsi="仿宋_GB2312" w:eastAsia="仿宋_GB2312" w:cs="仿宋_GB2312"/>
          <w:sz w:val="32"/>
          <w:lang w:eastAsia="zh-CN"/>
        </w:rPr>
        <w:t>特殊化妆品注册证编号（或普通化妆品</w:t>
      </w:r>
      <w:r>
        <w:rPr>
          <w:rFonts w:hint="eastAsia" w:ascii="仿宋_GB2312" w:hAnsi="仿宋_GB2312" w:eastAsia="仿宋_GB2312" w:cs="仿宋_GB2312"/>
          <w:sz w:val="32"/>
        </w:rPr>
        <w:t>备案</w:t>
      </w:r>
      <w:r>
        <w:rPr>
          <w:rFonts w:hint="eastAsia" w:ascii="仿宋_GB2312" w:hAnsi="仿宋_GB2312" w:eastAsia="仿宋_GB2312" w:cs="仿宋_GB2312"/>
          <w:sz w:val="32"/>
          <w:lang w:eastAsia="zh-CN"/>
        </w:rPr>
        <w:t>编号）、使用期限、净含量、购进数量、供货者名称、地址、联系方式、购进日期等。</w:t>
      </w:r>
    </w:p>
    <w:p>
      <w:pPr>
        <w:keepNext w:val="0"/>
        <w:keepLines w:val="0"/>
        <w:pageBreakBefore w:val="0"/>
        <w:kinsoku/>
        <w:overflowPunct/>
        <w:topLinePunct w:val="0"/>
        <w:autoSpaceDE/>
        <w:autoSpaceDN/>
        <w:bidi w:val="0"/>
        <w:adjustRightInd/>
        <w:snapToGrid/>
        <w:spacing w:line="600" w:lineRule="exact"/>
        <w:ind w:right="0" w:rightChars="0" w:firstLine="640" w:firstLineChars="200"/>
        <w:jc w:val="both"/>
        <w:textAlignment w:val="baseline"/>
        <w:rPr>
          <w:rFonts w:hint="eastAsia" w:ascii="仿宋_GB2312" w:hAnsi="仿宋_GB2312" w:eastAsia="仿宋_GB2312" w:cs="仿宋_GB2312"/>
          <w:sz w:val="32"/>
        </w:rPr>
      </w:pPr>
      <w:r>
        <w:rPr>
          <w:rFonts w:hint="eastAsia" w:ascii="仿宋_GB2312" w:hAnsi="仿宋_GB2312" w:eastAsia="仿宋_GB2312" w:cs="仿宋_GB2312"/>
          <w:sz w:val="32"/>
          <w:lang w:val="en-US" w:eastAsia="zh-CN"/>
        </w:rPr>
        <w:t>实行统一配送的化妆品经营者</w:t>
      </w:r>
      <w:r>
        <w:rPr>
          <w:rFonts w:hint="eastAsia" w:ascii="仿宋_GB2312" w:hAnsi="仿宋_GB2312" w:eastAsia="仿宋_GB2312" w:cs="仿宋_GB2312"/>
          <w:sz w:val="32"/>
        </w:rPr>
        <w:t>可</w:t>
      </w:r>
      <w:r>
        <w:rPr>
          <w:rFonts w:hint="eastAsia" w:ascii="仿宋_GB2312" w:hAnsi="仿宋_GB2312" w:eastAsia="仿宋_GB2312" w:cs="仿宋_GB2312"/>
          <w:sz w:val="32"/>
          <w:lang w:eastAsia="zh-CN"/>
        </w:rPr>
        <w:t>以</w:t>
      </w:r>
      <w:r>
        <w:rPr>
          <w:rFonts w:hint="eastAsia" w:ascii="仿宋_GB2312" w:hAnsi="仿宋_GB2312" w:eastAsia="仿宋_GB2312" w:cs="仿宋_GB2312"/>
          <w:sz w:val="32"/>
        </w:rPr>
        <w:t>由</w:t>
      </w:r>
      <w:r>
        <w:rPr>
          <w:rFonts w:hint="eastAsia" w:ascii="仿宋_GB2312" w:hAnsi="仿宋_GB2312" w:eastAsia="仿宋_GB2312" w:cs="仿宋_GB2312"/>
          <w:sz w:val="32"/>
          <w:lang w:eastAsia="zh-CN"/>
        </w:rPr>
        <w:t>经经营者总部</w:t>
      </w:r>
      <w:r>
        <w:rPr>
          <w:rFonts w:hint="eastAsia" w:ascii="仿宋_GB2312" w:hAnsi="仿宋_GB2312" w:eastAsia="仿宋_GB2312" w:cs="仿宋_GB2312"/>
          <w:sz w:val="32"/>
        </w:rPr>
        <w:t>统一</w:t>
      </w:r>
      <w:r>
        <w:rPr>
          <w:rFonts w:hint="eastAsia" w:ascii="仿宋_GB2312" w:hAnsi="仿宋_GB2312" w:eastAsia="仿宋_GB2312" w:cs="仿宋_GB2312"/>
          <w:sz w:val="32"/>
          <w:lang w:eastAsia="zh-CN"/>
        </w:rPr>
        <w:t>建立并执行进货查验记录制度，按照上述内容建立相关制度、台账等，并保证</w:t>
      </w:r>
      <w:r>
        <w:rPr>
          <w:rFonts w:hint="eastAsia" w:ascii="仿宋_GB2312" w:hAnsi="仿宋_GB2312" w:eastAsia="仿宋_GB2312" w:cs="仿宋_GB2312"/>
          <w:sz w:val="32"/>
        </w:rPr>
        <w:t>各连锁经营企业</w:t>
      </w:r>
      <w:r>
        <w:rPr>
          <w:rFonts w:hint="eastAsia" w:ascii="仿宋_GB2312" w:hAnsi="仿宋_GB2312" w:eastAsia="仿宋_GB2312" w:cs="仿宋_GB2312"/>
          <w:sz w:val="32"/>
          <w:lang w:eastAsia="zh-CN"/>
        </w:rPr>
        <w:t>（加盟店）</w:t>
      </w:r>
      <w:r>
        <w:rPr>
          <w:rFonts w:hint="eastAsia" w:ascii="仿宋_GB2312" w:hAnsi="仿宋_GB2312" w:eastAsia="仿宋_GB2312" w:cs="仿宋_GB2312"/>
          <w:sz w:val="32"/>
        </w:rPr>
        <w:t>能够通过电子化手段</w:t>
      </w:r>
      <w:r>
        <w:rPr>
          <w:rFonts w:hint="eastAsia" w:ascii="仿宋_GB2312" w:hAnsi="仿宋_GB2312" w:eastAsia="仿宋_GB2312" w:cs="仿宋_GB2312"/>
          <w:sz w:val="32"/>
          <w:lang w:eastAsia="zh-CN"/>
        </w:rPr>
        <w:t>或其他方式</w:t>
      </w:r>
      <w:r>
        <w:rPr>
          <w:rFonts w:hint="eastAsia" w:ascii="仿宋_GB2312" w:hAnsi="仿宋_GB2312" w:eastAsia="仿宋_GB2312" w:cs="仿宋_GB2312"/>
          <w:sz w:val="32"/>
        </w:rPr>
        <w:t>进行查询索证索票情况。</w:t>
      </w:r>
    </w:p>
    <w:p>
      <w:pPr>
        <w:keepNext w:val="0"/>
        <w:keepLines w:val="0"/>
        <w:pageBreakBefore w:val="0"/>
        <w:widowControl/>
        <w:shd w:val="clear" w:color="auto" w:fill="FFFFFF"/>
        <w:kinsoku/>
        <w:wordWrap w:val="0"/>
        <w:overflowPunct/>
        <w:topLinePunct w:val="0"/>
        <w:autoSpaceDE/>
        <w:autoSpaceDN/>
        <w:bidi w:val="0"/>
        <w:adjustRightInd/>
        <w:snapToGrid/>
        <w:spacing w:line="600" w:lineRule="exact"/>
        <w:ind w:right="0" w:rightChars="0" w:firstLine="685"/>
        <w:jc w:val="both"/>
        <w:textAlignment w:val="auto"/>
        <w:outlineLvl w:val="9"/>
        <w:rPr>
          <w:rFonts w:hint="eastAsia" w:ascii="仿宋_GB2312" w:hAnsi="仿宋_GB2312" w:eastAsia="仿宋_GB2312" w:cs="仿宋_GB2312"/>
          <w:kern w:val="0"/>
          <w:sz w:val="32"/>
          <w:szCs w:val="32"/>
          <w:shd w:val="clear" w:color="auto" w:fill="FFFFFF"/>
          <w:lang w:eastAsia="zh-CN"/>
        </w:rPr>
      </w:pPr>
      <w:r>
        <w:rPr>
          <w:rFonts w:hint="eastAsia" w:ascii="方正黑体_GBK" w:hAnsi="方正黑体_GBK" w:eastAsia="方正黑体_GBK" w:cs="方正黑体_GBK"/>
          <w:b w:val="0"/>
          <w:bCs w:val="0"/>
          <w:sz w:val="32"/>
          <w:lang w:val="en-US" w:eastAsia="zh-CN"/>
        </w:rPr>
        <w:t>五、建立资料档案。</w:t>
      </w:r>
      <w:r>
        <w:rPr>
          <w:rFonts w:hint="eastAsia" w:ascii="仿宋_GB2312" w:hAnsi="仿宋_GB2312" w:eastAsia="仿宋_GB2312" w:cs="仿宋_GB2312"/>
          <w:sz w:val="32"/>
          <w:lang w:val="en-US" w:eastAsia="zh-CN"/>
        </w:rPr>
        <w:t>化妆品经营单位</w:t>
      </w:r>
      <w:r>
        <w:rPr>
          <w:rFonts w:hint="eastAsia" w:ascii="仿宋_GB2312" w:hAnsi="仿宋_GB2312" w:eastAsia="仿宋_GB2312" w:cs="仿宋_GB2312"/>
          <w:sz w:val="32"/>
          <w:lang w:eastAsia="zh-CN"/>
        </w:rPr>
        <w:t>要</w:t>
      </w:r>
      <w:r>
        <w:rPr>
          <w:rFonts w:hint="eastAsia" w:ascii="仿宋_GB2312" w:hAnsi="仿宋_GB2312" w:eastAsia="仿宋_GB2312" w:cs="仿宋_GB2312"/>
          <w:sz w:val="32"/>
        </w:rPr>
        <w:t>按供应商名称或者化妆品</w:t>
      </w:r>
      <w:r>
        <w:rPr>
          <w:rFonts w:hint="eastAsia" w:ascii="仿宋_GB2312" w:hAnsi="仿宋_GB2312" w:eastAsia="仿宋_GB2312" w:cs="仿宋_GB2312"/>
          <w:sz w:val="32"/>
          <w:lang w:eastAsia="zh-CN"/>
        </w:rPr>
        <w:t>品</w:t>
      </w:r>
      <w:r>
        <w:rPr>
          <w:rFonts w:hint="eastAsia" w:ascii="仿宋_GB2312" w:hAnsi="仿宋_GB2312" w:eastAsia="仿宋_GB2312" w:cs="仿宋_GB2312"/>
          <w:sz w:val="32"/>
        </w:rPr>
        <w:t>类</w:t>
      </w:r>
      <w:r>
        <w:rPr>
          <w:rFonts w:hint="eastAsia" w:ascii="仿宋_GB2312" w:hAnsi="仿宋_GB2312" w:eastAsia="仿宋_GB2312" w:cs="仿宋_GB2312"/>
          <w:sz w:val="32"/>
          <w:lang w:eastAsia="zh-CN"/>
        </w:rPr>
        <w:t>建立</w:t>
      </w:r>
      <w:r>
        <w:rPr>
          <w:rFonts w:hint="eastAsia" w:ascii="仿宋_GB2312" w:hAnsi="仿宋_GB2312" w:eastAsia="仿宋_GB2312" w:cs="仿宋_GB2312"/>
          <w:sz w:val="32"/>
          <w:lang w:val="en-US" w:eastAsia="zh-CN"/>
        </w:rPr>
        <w:t>产品资质证件资料、进货票据</w:t>
      </w:r>
      <w:r>
        <w:rPr>
          <w:rFonts w:hint="eastAsia" w:ascii="仿宋_GB2312" w:hAnsi="仿宋_GB2312" w:eastAsia="仿宋_GB2312" w:cs="仿宋_GB2312"/>
          <w:sz w:val="32"/>
        </w:rPr>
        <w:t>档</w:t>
      </w:r>
      <w:r>
        <w:rPr>
          <w:rFonts w:hint="eastAsia" w:ascii="仿宋_GB2312" w:hAnsi="仿宋_GB2312" w:eastAsia="仿宋_GB2312" w:cs="仿宋_GB2312"/>
          <w:sz w:val="32"/>
          <w:lang w:eastAsia="zh-CN"/>
        </w:rPr>
        <w:t>案，实行电子化或纸质管理。</w:t>
      </w:r>
      <w:r>
        <w:rPr>
          <w:rFonts w:hint="eastAsia" w:ascii="仿宋_GB2312" w:hAnsi="仿宋_GB2312" w:eastAsia="仿宋_GB2312" w:cs="仿宋_GB2312"/>
          <w:sz w:val="32"/>
        </w:rPr>
        <w:t>相关档案保存期</w:t>
      </w:r>
      <w:r>
        <w:rPr>
          <w:rFonts w:hint="eastAsia" w:ascii="仿宋_GB2312" w:hAnsi="仿宋_GB2312" w:eastAsia="仿宋_GB2312" w:cs="仿宋_GB2312"/>
          <w:sz w:val="32"/>
          <w:lang w:eastAsia="zh-CN"/>
        </w:rPr>
        <w:t>不得少于产品期限届满后</w:t>
      </w:r>
      <w:r>
        <w:rPr>
          <w:rFonts w:hint="eastAsia" w:ascii="仿宋_GB2312" w:hAnsi="仿宋_GB2312" w:eastAsia="仿宋_GB2312" w:cs="仿宋_GB2312"/>
          <w:sz w:val="32"/>
          <w:lang w:val="en-US" w:eastAsia="zh-CN"/>
        </w:rPr>
        <w:t>1年；产品使用期限不足1年的，</w:t>
      </w:r>
      <w:r>
        <w:rPr>
          <w:rFonts w:hint="eastAsia" w:ascii="仿宋_GB2312" w:hAnsi="仿宋_GB2312" w:eastAsia="仿宋_GB2312" w:cs="仿宋_GB2312"/>
          <w:sz w:val="32"/>
          <w:lang w:eastAsia="zh-CN"/>
        </w:rPr>
        <w:t>记录保存期限不得少于</w:t>
      </w:r>
      <w:r>
        <w:rPr>
          <w:rFonts w:hint="eastAsia" w:ascii="仿宋_GB2312" w:hAnsi="仿宋_GB2312" w:eastAsia="仿宋_GB2312" w:cs="仿宋_GB2312"/>
          <w:sz w:val="32"/>
          <w:lang w:val="en-US" w:eastAsia="zh-CN"/>
        </w:rPr>
        <w:t>2年</w:t>
      </w:r>
      <w:r>
        <w:rPr>
          <w:rFonts w:hint="eastAsia" w:ascii="仿宋_GB2312" w:hAnsi="仿宋_GB2312" w:eastAsia="仿宋_GB2312" w:cs="仿宋_GB2312"/>
          <w:sz w:val="32"/>
          <w:lang w:eastAsia="zh-CN"/>
        </w:rPr>
        <w:t>。</w:t>
      </w:r>
    </w:p>
    <w:p>
      <w:pPr>
        <w:keepNext w:val="0"/>
        <w:keepLines w:val="0"/>
        <w:pageBreakBefore w:val="0"/>
        <w:kinsoku/>
        <w:overflowPunct/>
        <w:topLinePunct w:val="0"/>
        <w:autoSpaceDE/>
        <w:autoSpaceDN/>
        <w:bidi w:val="0"/>
        <w:adjustRightInd/>
        <w:snapToGrid/>
        <w:spacing w:line="600" w:lineRule="exact"/>
        <w:ind w:right="0" w:rightChars="0"/>
        <w:jc w:val="both"/>
        <w:textAlignment w:val="baseline"/>
        <w:rPr>
          <w:rFonts w:hint="eastAsia" w:ascii="CESI仿宋-GB18030" w:hAnsi="CESI仿宋-GB18030" w:eastAsia="CESI仿宋-GB18030" w:cs="CESI仿宋-GB18030"/>
          <w:sz w:val="32"/>
          <w:szCs w:val="32"/>
          <w:lang w:eastAsia="zh-CN"/>
        </w:rPr>
      </w:pPr>
    </w:p>
    <w:p>
      <w:pPr>
        <w:keepNext w:val="0"/>
        <w:keepLines w:val="0"/>
        <w:pageBreakBefore w:val="0"/>
        <w:kinsoku/>
        <w:overflowPunct/>
        <w:topLinePunct w:val="0"/>
        <w:autoSpaceDE/>
        <w:autoSpaceDN/>
        <w:bidi w:val="0"/>
        <w:adjustRightInd/>
        <w:snapToGrid/>
        <w:spacing w:line="600" w:lineRule="exact"/>
        <w:ind w:right="0" w:rightChars="0"/>
        <w:jc w:val="both"/>
        <w:textAlignment w:val="baseline"/>
        <w:rPr>
          <w:rFonts w:hint="eastAsia" w:ascii="CESI仿宋-GB18030" w:hAnsi="CESI仿宋-GB18030" w:eastAsia="CESI仿宋-GB18030" w:cs="CESI仿宋-GB18030"/>
          <w:sz w:val="32"/>
          <w:szCs w:val="32"/>
          <w:lang w:eastAsia="zh-CN"/>
        </w:rPr>
      </w:pPr>
    </w:p>
    <w:p>
      <w:pPr>
        <w:keepNext w:val="0"/>
        <w:keepLines w:val="0"/>
        <w:pageBreakBefore w:val="0"/>
        <w:kinsoku/>
        <w:overflowPunct/>
        <w:topLinePunct w:val="0"/>
        <w:autoSpaceDE/>
        <w:autoSpaceDN/>
        <w:bidi w:val="0"/>
        <w:adjustRightInd/>
        <w:snapToGrid/>
        <w:spacing w:line="600" w:lineRule="exact"/>
        <w:ind w:right="0" w:rightChars="0"/>
        <w:jc w:val="both"/>
        <w:textAlignment w:val="baseline"/>
        <w:rPr>
          <w:rFonts w:hint="eastAsia" w:ascii="CESI仿宋-GB18030" w:hAnsi="CESI仿宋-GB18030" w:eastAsia="CESI仿宋-GB18030" w:cs="CESI仿宋-GB18030"/>
          <w:sz w:val="32"/>
          <w:szCs w:val="32"/>
          <w:lang w:eastAsia="zh-CN"/>
        </w:rPr>
      </w:pPr>
    </w:p>
    <w:p>
      <w:pPr>
        <w:keepNext w:val="0"/>
        <w:keepLines w:val="0"/>
        <w:pageBreakBefore w:val="0"/>
        <w:kinsoku/>
        <w:overflowPunct/>
        <w:topLinePunct w:val="0"/>
        <w:autoSpaceDE/>
        <w:autoSpaceDN/>
        <w:bidi w:val="0"/>
        <w:adjustRightInd/>
        <w:snapToGrid/>
        <w:spacing w:line="600" w:lineRule="exact"/>
        <w:ind w:right="0" w:rightChars="0"/>
        <w:jc w:val="both"/>
        <w:textAlignment w:val="baseline"/>
        <w:rPr>
          <w:rFonts w:hint="eastAsia" w:ascii="CESI仿宋-GB18030" w:hAnsi="CESI仿宋-GB18030" w:eastAsia="CESI仿宋-GB18030" w:cs="CESI仿宋-GB18030"/>
          <w:sz w:val="32"/>
          <w:szCs w:val="32"/>
          <w:lang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CESI仿宋-GB18030">
    <w:panose1 w:val="02000500000000000000"/>
    <w:charset w:val="86"/>
    <w:family w:val="auto"/>
    <w:pitch w:val="default"/>
    <w:sig w:usb0="A00002BF" w:usb1="38C7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CESI黑体-GB13000">
    <w:panose1 w:val="02000500000000000000"/>
    <w:charset w:val="86"/>
    <w:family w:val="auto"/>
    <w:pitch w:val="default"/>
    <w:sig w:usb0="800002BF" w:usb1="38CF7CF8"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BBDC957"/>
    <w:rsid w:val="BDA7D80F"/>
    <w:rsid w:val="DDED8AE3"/>
    <w:rsid w:val="EBBDC9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rFonts w:eastAsia="宋体"/>
      <w:sz w:val="18"/>
      <w:szCs w:val="18"/>
    </w:rPr>
  </w:style>
  <w:style w:type="paragraph" w:styleId="3">
    <w:name w:val="Normal (Web)"/>
    <w:basedOn w:val="1"/>
    <w:qFormat/>
    <w:uiPriority w:val="99"/>
    <w:pPr>
      <w:spacing w:beforeAutospacing="1" w:afterAutospacing="1"/>
      <w:jc w:val="left"/>
    </w:pPr>
    <w:rPr>
      <w:rFonts w:eastAsia="宋体"/>
      <w:kern w:val="0"/>
      <w:sz w:val="24"/>
    </w:rPr>
  </w:style>
  <w:style w:type="table" w:styleId="5">
    <w:name w:val="Table Grid"/>
    <w:basedOn w:val="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2022-02-17T16:33:00Z</dcterms:created>
  <dc:creator>yjj</dc:creator>
  <cp:lastModifiedBy>yjj</cp:lastModifiedBy>
  <dcterms:modified xsi:type="dcterms:W3CDTF">2022-02-17T17:10:46Z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